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9"/>
        <w:gridCol w:w="3229"/>
        <w:gridCol w:w="5047"/>
      </w:tblGrid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26.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https://www.youtube.com/watch?v=e2SadYx2IPM&amp;list=PLM6kePQ4tAcgvhl0C-YDaiCZMwzOjltCn&amp;index=5&amp;t=0s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26.05.20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https://www.youtube.com/watch?v=yzEBt6caNAA&amp;list=PLM6kePQ4tAcgvhl0C-YDaiCZMwzOjltCn&amp;index=2&amp;t=0s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>26.05.20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https://www.youtube.com/watch?v=24oM3AVDSZg&amp;list=PLM6kePQ4tAcgvhl0C-YDaiCZMwzOjltCn&amp;index=3&amp;t=0s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30.05.2020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061"/>
        <w:gridCol w:w="5513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2SadYx2IPM&amp;list=PLM6kePQ4tAcgvhl0C-YDaiCZMwzOjltCn&amp;index=5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yzEBt6caNAA&amp;list=PLM6kePQ4tAcgvhl0C-YDaiCZMwzOjltCn&amp;index=2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24oM3AVDSZg&amp;list=PLM6kePQ4tAcgvhl0C-YDaiCZMwzOjltCn&amp;index=3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Neat_Office/6.2.8.2$Windows_x86 LibreOffice_project/</Application>
  <Pages>8</Pages>
  <Words>1069</Words>
  <Characters>7351</Characters>
  <CharactersWithSpaces>8328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2020-05-25T12:16:39Z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