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C" w:rsidRPr="00552C3C" w:rsidRDefault="00552C3C" w:rsidP="00552C3C">
      <w:pPr>
        <w:pStyle w:val="zag2"/>
      </w:pPr>
      <w:r>
        <w:t xml:space="preserve">Прочтите и ответьте на вопросы в конце параграфа. Ответы присылать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>: oleg.russkikh.70@mail.ru</w:t>
      </w:r>
    </w:p>
    <w:p w:rsidR="00552C3C" w:rsidRDefault="00552C3C" w:rsidP="00552C3C">
      <w:pPr>
        <w:pStyle w:val="zag2"/>
      </w:pPr>
      <w:r>
        <w:t>ЦИВИЛИЗАЦИОННЫЙ ПУТЬ РОССИИ: ПРОДОЛЖЕНИЕ СПОРОВ</w:t>
      </w:r>
    </w:p>
    <w:p w:rsidR="00552C3C" w:rsidRDefault="00552C3C" w:rsidP="00552C3C">
      <w:pPr>
        <w:pStyle w:val="a3"/>
        <w:jc w:val="both"/>
      </w:pPr>
      <w:r>
        <w:t xml:space="preserve">      Первая четверть прошлого столетия стала периодом активной творческой деятельности целой плеяды отечественных философов. Среди них — </w:t>
      </w:r>
      <w:r>
        <w:rPr>
          <w:rStyle w:val="a4"/>
        </w:rPr>
        <w:t xml:space="preserve">Н. А. Бердяев </w:t>
      </w:r>
      <w:r>
        <w:t xml:space="preserve">(1874—1948 гг.), </w:t>
      </w:r>
      <w:r>
        <w:rPr>
          <w:rStyle w:val="a4"/>
        </w:rPr>
        <w:t xml:space="preserve">С. Н. Булгаков </w:t>
      </w:r>
      <w:r>
        <w:t xml:space="preserve">(1871—1944 гг.), </w:t>
      </w:r>
      <w:r>
        <w:rPr>
          <w:rStyle w:val="a4"/>
        </w:rPr>
        <w:t xml:space="preserve">П. А. Флоренский </w:t>
      </w:r>
      <w:r>
        <w:t xml:space="preserve">(1882—1937 гг.), </w:t>
      </w:r>
      <w:r>
        <w:rPr>
          <w:rStyle w:val="a4"/>
        </w:rPr>
        <w:t>Г. Г. </w:t>
      </w:r>
      <w:proofErr w:type="spellStart"/>
      <w:r>
        <w:rPr>
          <w:rStyle w:val="a4"/>
        </w:rPr>
        <w:t>Шпет</w:t>
      </w:r>
      <w:proofErr w:type="spellEnd"/>
      <w:r>
        <w:rPr>
          <w:rStyle w:val="a4"/>
        </w:rPr>
        <w:t xml:space="preserve"> </w:t>
      </w:r>
      <w:r>
        <w:t xml:space="preserve">(1879—1937 гг.). Оформились различные философские течения (многие из них уходили своими корнями в предшествующий период): материалистическая марксистская философия, религиозный экзистенциализм, русский </w:t>
      </w:r>
      <w:proofErr w:type="spellStart"/>
      <w:r>
        <w:t>космизм</w:t>
      </w:r>
      <w:proofErr w:type="spellEnd"/>
      <w:r>
        <w:t xml:space="preserve"> и др.</w:t>
      </w:r>
      <w:r>
        <w:br/>
        <w:t xml:space="preserve">      В центре внимания многих мыслителей по-прежнему оставался вопрос о </w:t>
      </w:r>
      <w:proofErr w:type="spellStart"/>
      <w:r>
        <w:t>цивилизационной</w:t>
      </w:r>
      <w:proofErr w:type="spellEnd"/>
      <w:r>
        <w:t xml:space="preserve"> принадлежности России.</w:t>
      </w:r>
      <w:r>
        <w:br/>
        <w:t xml:space="preserve">      Остановимся более обстоятельно на одном из течений — </w:t>
      </w:r>
      <w:proofErr w:type="spellStart"/>
      <w:r>
        <w:rPr>
          <w:rStyle w:val="a4"/>
        </w:rPr>
        <w:t>евразийстве</w:t>
      </w:r>
      <w:proofErr w:type="spellEnd"/>
      <w:r>
        <w:rPr>
          <w:rStyle w:val="a4"/>
        </w:rPr>
        <w:t xml:space="preserve">, </w:t>
      </w:r>
      <w:r>
        <w:t>идеи которого некоторые современные философы считают созвучными нашему времени. Евразийская доктрина начала 20-х гг. XX </w:t>
      </w:r>
      <w:proofErr w:type="gramStart"/>
      <w:r>
        <w:t>в</w:t>
      </w:r>
      <w:proofErr w:type="gramEnd"/>
      <w:r>
        <w:t>. утверждала: Россия есть Евразия, третий, срединный материк, это особый исторический и этнографический мир. Эпоха господства Запада должна смениться временем лидерства Евразии. Язычество рядом сторонников этого направления рассматривалось как потенциально более близкое православию, чем другие христианские исповедания. В антизападных настроениях евразийцев можно увидеть влияние идей славянофильства.</w:t>
      </w:r>
      <w:r>
        <w:br/>
        <w:t xml:space="preserve">      Многие русские философы критически отнеслись к новому течению, отвергая не только философско-исторические, но и политические позиции евразийцев, принимавших идею неограниченной власти одной строго дисциплинированной и идейно монолитной партии. Антизападные настроения сближали евразийцев со славянофилами, однако критики </w:t>
      </w:r>
      <w:proofErr w:type="spellStart"/>
      <w:r>
        <w:t>евразийства</w:t>
      </w:r>
      <w:proofErr w:type="spellEnd"/>
      <w:r>
        <w:t xml:space="preserve"> считали это сходство чисто внешним. Новая идеология расценивалась как шаг назад: церковный и вселенский тип русской идеи подменялся борьбой за преобладание определенного «культурного типа» общества.</w:t>
      </w:r>
      <w:r>
        <w:br/>
        <w:t>      Н. А. Бердяев отмечал, что политические взгляды евразийцев привели их к «своеобразной утопии идеальной диктатуры». Сам философ, как и его предшественник В. Соловьев, исходил из промежуточного положения России между Западом и Востоком. Однако не гармоническое соединение различных начал видел Бердяев в российском обществе. Напротив, Россия стала ареной «столкновения и противоборства восточных и западных элементов». Это противоборство проявляется в «поляризации русской души», в культурном расколе общества (традиционная культура низших классов и европейская — высших слоев), в колебаниях внутренней политики (периоды реформ почти всегда сменяются реакцией и застоем), в противоречиях внешней политики (от союза с Западом до противостояния ему). «Историческая судьба русского народа, — писал Бердяев, — была несчастной и страдальческой, и развивался он катастрофическим темпом, через прерывистость и изменение типа цивилизации».</w:t>
      </w:r>
      <w:r>
        <w:br/>
        <w:t xml:space="preserve">      В советский период в социальной философии и исторической науке утвердился в </w:t>
      </w:r>
      <w:proofErr w:type="gramStart"/>
      <w:r>
        <w:t>достаточно догматическом</w:t>
      </w:r>
      <w:proofErr w:type="gramEnd"/>
      <w:r>
        <w:t xml:space="preserve"> виде марксистский формационный подход. В учебниках и научных изданиях проводилась мысль о том, что наше общество, как и другие страны и народы, движется по определенным ступеням общественного прогресса, одна формация сменяется другой — более развитой. С этих позиций противопоставление нашей страны какой-либо другой группе стран беспочвенно, поскольку </w:t>
      </w:r>
      <w:proofErr w:type="gramStart"/>
      <w:r>
        <w:t>все</w:t>
      </w:r>
      <w:proofErr w:type="gramEnd"/>
      <w:r>
        <w:t xml:space="preserve"> в конечном счете идут одной исторической дорогой (при этом определенная специфика, присущая стране или региону, не отрицалась). Главное отличие нашего государства, по мнению советских исследователей, состояло в том, что оно уже поднялось на новую, более высокую ступень развития (другим еще только предстояло это восхождение) и своим созидательным </w:t>
      </w:r>
      <w:r>
        <w:lastRenderedPageBreak/>
        <w:t>трудом прокладывает дорогу в будущее всему человечеству.</w:t>
      </w:r>
      <w:r>
        <w:br/>
        <w:t>      </w:t>
      </w:r>
      <w:proofErr w:type="gramStart"/>
      <w:r>
        <w:t xml:space="preserve">Ликвидация на рубеже 80—90-х гг. XX в. марксистского идеологического монополизма в отечественном обществознании, восстановление плюрализма подходов и оценок привели к критике формационной модели общества и усилению внимания к </w:t>
      </w:r>
      <w:proofErr w:type="spellStart"/>
      <w:r>
        <w:t>цивилизационному</w:t>
      </w:r>
      <w:proofErr w:type="spellEnd"/>
      <w:r>
        <w:t xml:space="preserve"> подходу, предполагающему большее внимание к анализу проявлений особенного, прежде всего в культурно-духовной сфере.</w:t>
      </w:r>
      <w:proofErr w:type="gramEnd"/>
      <w:r>
        <w:br/>
        <w:t xml:space="preserve">      Вновь возникли споры о </w:t>
      </w:r>
      <w:proofErr w:type="spellStart"/>
      <w:r>
        <w:t>цивилизационной</w:t>
      </w:r>
      <w:proofErr w:type="spellEnd"/>
      <w:r>
        <w:t xml:space="preserve"> принадлежности России.</w:t>
      </w:r>
      <w:r>
        <w:br/>
        <w:t xml:space="preserve">      Одни исследователи считают, что Россия и сегодня должна быть отнесена к группе стран с преобладанием традиционных ценностей. Подтверждением этого служат: высокая степень централизации государственной власти; более низкий, в сравнении со странами Запада, уровень экономического развития; отсутствие надежных гарантий основных прав и свобод личности, в том числе и права частной собственности; приоритет государственных и общественных ценностей </w:t>
      </w:r>
      <w:proofErr w:type="gramStart"/>
      <w:r>
        <w:t>над</w:t>
      </w:r>
      <w:proofErr w:type="gramEnd"/>
      <w:r>
        <w:t xml:space="preserve"> личными; отсутствие зрелого гражданского общества.</w:t>
      </w:r>
      <w:r>
        <w:br/>
        <w:t>      Другие полагают, что Россия представляет собой вариант западной (индустриальной) цивилизации «догоняющего» типа. Они ссылаются, в частности, на определяющую роль промышленного производства в экономике страны, высокий уровень образованности населения, ценность в обществе науки и научного знания.</w:t>
      </w:r>
      <w:r>
        <w:br/>
        <w:t xml:space="preserve">      Немало и тех, кто отстаивает несводимость российского общества к какому-либо </w:t>
      </w:r>
      <w:proofErr w:type="spellStart"/>
      <w:r>
        <w:t>цивилизационному</w:t>
      </w:r>
      <w:proofErr w:type="spellEnd"/>
      <w:r>
        <w:t xml:space="preserve"> типу развития. Это диктует особый, третий путь дальнейшего развития.</w:t>
      </w:r>
      <w:r>
        <w:br/>
        <w:t>      Поэт В. Я. Брюсов писал:</w:t>
      </w:r>
    </w:p>
    <w:p w:rsidR="00552C3C" w:rsidRDefault="00552C3C" w:rsidP="00552C3C">
      <w:pPr>
        <w:pStyle w:val="a3"/>
        <w:jc w:val="both"/>
      </w:pPr>
      <w:r>
        <w:t>      Не надо несбыточных грез,</w:t>
      </w:r>
      <w:r>
        <w:br/>
        <w:t>      Не надо красивых утопий.</w:t>
      </w:r>
      <w:r>
        <w:br/>
        <w:t>      Мы снова решаем вопрос,</w:t>
      </w:r>
      <w:r>
        <w:br/>
        <w:t>      Кто мы в этой старой Европе?</w:t>
      </w:r>
    </w:p>
    <w:p w:rsidR="00552C3C" w:rsidRDefault="00552C3C" w:rsidP="00552C3C">
      <w:pPr>
        <w:pStyle w:val="a3"/>
        <w:jc w:val="both"/>
      </w:pPr>
      <w:r>
        <w:t>      Прошли многие десятилетия с того момента, когда родились эти строки. Однако мы снова решаем тот же самый вопрос.</w:t>
      </w:r>
      <w:r>
        <w:br/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1" name="Рисунок 1" descr="http://prosv.ru/ebooks/Bogolubov_Obwestvozn_10_Ucheb/images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v.ru/ebooks/Bogolubov_Obwestvozn_10_Ucheb/images/15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 Основные понятия: </w:t>
      </w:r>
      <w:proofErr w:type="spellStart"/>
      <w:r>
        <w:t>цивилизационный</w:t>
      </w:r>
      <w:proofErr w:type="spellEnd"/>
      <w:r>
        <w:t xml:space="preserve"> подход, культурный раскол, цивилизация догоняющего типа, всеединство.</w:t>
      </w:r>
      <w:r>
        <w:br/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2" name="Рисунок 2" descr="http://prosv.ru/ebooks/Bogolubov_Obwestvozn_10_Ucheb/images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sv.ru/ebooks/Bogolubov_Obwestvozn_10_Ucheb/images/15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 Термины: </w:t>
      </w:r>
      <w:r>
        <w:t>деизм, культурный тип.</w:t>
      </w:r>
    </w:p>
    <w:p w:rsidR="00552C3C" w:rsidRDefault="00552C3C" w:rsidP="00552C3C">
      <w:pPr>
        <w:pStyle w:val="a3"/>
        <w:jc w:val="both"/>
      </w:pPr>
      <w:r>
        <w:t>      </w:t>
      </w:r>
    </w:p>
    <w:tbl>
      <w:tblPr>
        <w:tblW w:w="1500" w:type="pct"/>
        <w:tblCellSpacing w:w="15" w:type="dxa"/>
        <w:tblLook w:val="04A0"/>
      </w:tblPr>
      <w:tblGrid>
        <w:gridCol w:w="2928"/>
      </w:tblGrid>
      <w:tr w:rsidR="00552C3C" w:rsidTr="00552C3C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552C3C" w:rsidRPr="00552C3C" w:rsidRDefault="00552C3C">
            <w:pPr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  <w:lang w:val="en-US"/>
              </w:rPr>
              <w:t>Задания</w:t>
            </w:r>
            <w:proofErr w:type="spellEnd"/>
          </w:p>
        </w:tc>
      </w:tr>
    </w:tbl>
    <w:p w:rsidR="00552C3C" w:rsidRDefault="00552C3C" w:rsidP="00552C3C">
      <w:pPr>
        <w:pStyle w:val="a3"/>
        <w:jc w:val="both"/>
      </w:pPr>
      <w:r>
        <w:t>      1. </w:t>
      </w:r>
      <w:proofErr w:type="gramStart"/>
      <w:r>
        <w:t>А. Кантемир выделял в философии четыре части: словесницу (логику), естественницу (физику), преемственность (метафизику, знание о сверхъестественном), этику (нравственность).</w:t>
      </w:r>
      <w:proofErr w:type="gramEnd"/>
      <w:r>
        <w:br/>
        <w:t>      Как в этом подходе отразились представления о философии эпохи раннего Нового времени? Рассуждая с позиций сегодняшнего дня, что из названного вы бы оставили в составе философии, а что исключили? Почему?</w:t>
      </w:r>
      <w:r>
        <w:br/>
        <w:t xml:space="preserve">      2. Выстраивая свою философскую концепцию природы, М. Ломоносов в качестве </w:t>
      </w:r>
      <w:proofErr w:type="spellStart"/>
      <w:r>
        <w:t>первокирпичиков</w:t>
      </w:r>
      <w:proofErr w:type="spellEnd"/>
      <w:r>
        <w:t xml:space="preserve"> мироздания рассматривал «нечувствительные частицы», существующие в двух формах: элементах — мельчайших неделимых </w:t>
      </w:r>
      <w:proofErr w:type="spellStart"/>
      <w:r>
        <w:t>первочастицах</w:t>
      </w:r>
      <w:proofErr w:type="spellEnd"/>
      <w:r>
        <w:t xml:space="preserve"> и корпускулах — ассоциациях (соединениях) элементарных частиц. При этом ученый подчеркивал, что, хотя элементы и корпускулы недоступны зрению, они существуют реально и вполне познаваемы.</w:t>
      </w:r>
      <w:r>
        <w:br/>
        <w:t xml:space="preserve">      Можно ли эти представления считать предвосхищением открытия в последующие столетия атома и молекулы? Обоснуйте свой вывод, привлекая знания, полученные на </w:t>
      </w:r>
      <w:r>
        <w:lastRenderedPageBreak/>
        <w:t>уроках физики и химии.</w:t>
      </w:r>
      <w:r>
        <w:br/>
        <w:t>      3. </w:t>
      </w:r>
      <w:proofErr w:type="gramStart"/>
      <w:r>
        <w:t>Прочитайте два фрагмента, принадлежащие перу известных философов и публицистов XIX в.</w:t>
      </w:r>
      <w:r>
        <w:br/>
        <w:t>      «Почти каждый из европейцев всегда готов, с гордостью ударяя себя по сердцу, говорить себе и другим, что совесть его вполне спокойна, что он совершенно чист перед Богом и людьми, что он одного только просит у Бога, чтобы другие люди все были на него похожи...</w:t>
      </w:r>
      <w:proofErr w:type="gramEnd"/>
      <w:r>
        <w:t xml:space="preserve"> Русский человек, напротив того, всегда живо чувствует свои недостатки и, чем выше восходит по лестнице нравственного развития, тем более требует от себя и потому тем менее бывает собой доволен».</w:t>
      </w:r>
      <w:r>
        <w:br/>
        <w:t xml:space="preserve">      «Чрезмерным развитием личной энергии, железною стойкостью лица, его стремлением к свободе, его щепетильным и ревностным охранением своих прав мы, кажется, никогда не имели повода </w:t>
      </w:r>
      <w:proofErr w:type="gramStart"/>
      <w:r>
        <w:t>похвалиться</w:t>
      </w:r>
      <w:proofErr w:type="gramEnd"/>
      <w:r>
        <w:t xml:space="preserve">... В нас аппетиты </w:t>
      </w:r>
      <w:proofErr w:type="gramStart"/>
      <w:r>
        <w:t>бывают</w:t>
      </w:r>
      <w:proofErr w:type="gramEnd"/>
      <w:r>
        <w:t xml:space="preserve"> развиты до болезненности, но нет ни охоты, ни способности трудиться, с целью удовлетворить их, бороться с препятствиями, отстаивать себя и свою мысль... Мы вечно фантазируем, вечно отдаемся первой случайной прихоти. Мы жалуемся на обстановку, на злую судьбу, на всеобщее равнодушие и безучастие ко всякому доброму и полезному делу».</w:t>
      </w:r>
      <w:r>
        <w:br/>
        <w:t xml:space="preserve">      Определите, </w:t>
      </w:r>
      <w:proofErr w:type="gramStart"/>
      <w:r>
        <w:t>сторонником</w:t>
      </w:r>
      <w:proofErr w:type="gramEnd"/>
      <w:r>
        <w:t xml:space="preserve"> какого из направлений — западничества или славянофильства — является каждый из авторов. Обоснуйте свои выводы.</w:t>
      </w:r>
      <w:r>
        <w:br/>
        <w:t>      4. Нередко бывало, что философия и занятия ею рассматривались властями как источник излишнего вольнодумства, расшатывающего устои государственности и нравственности. Какие примеры притеснений и гонений на неугодных мыслителей содержатся в этом параграфе? Приведите, опираясь на знания из курса истории, другие примеры из этого ряда.</w:t>
      </w:r>
      <w:r>
        <w:br/>
        <w:t>      5. Современный российский философ пишет, что вопрос об этой идее, выдвинутой в 20-е гг. минувшего века, «требует специального рассмотрения, возрождения ее в новом качестве с ясным пониманием тех стабилизирующих возможностей, которые в ней содержатся... Огромная роль должна быть уделена проникновению русской и исламской культур. Заметим, что нам легче находить общий язык с традиционным исламом, чем с «латинским христианством».</w:t>
      </w:r>
      <w:r>
        <w:br/>
        <w:t>      О какой идее идет речь? Разделяете ли вы последний тезис автора?</w:t>
      </w:r>
    </w:p>
    <w:p w:rsidR="00FC6371" w:rsidRDefault="00FC6371"/>
    <w:sectPr w:rsidR="00FC6371" w:rsidSect="00FC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3C"/>
    <w:rsid w:val="00552C3C"/>
    <w:rsid w:val="00FC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2C3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552C3C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styleId="a4">
    <w:name w:val="Emphasis"/>
    <w:basedOn w:val="a0"/>
    <w:qFormat/>
    <w:rsid w:val="00552C3C"/>
    <w:rPr>
      <w:i/>
      <w:iCs/>
    </w:rPr>
  </w:style>
  <w:style w:type="character" w:styleId="a5">
    <w:name w:val="Strong"/>
    <w:basedOn w:val="a0"/>
    <w:qFormat/>
    <w:rsid w:val="00552C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rosv.ru/ebooks/Bogolubov_Obwestvozn_10_Ucheb/images/15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7311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2020-05-20T15:54:00Z</dcterms:created>
  <dcterms:modified xsi:type="dcterms:W3CDTF">2020-05-20T15:56:00Z</dcterms:modified>
</cp:coreProperties>
</file>