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A2" w:rsidRPr="002B0112" w:rsidRDefault="002B0112">
      <w:pPr>
        <w:rPr>
          <w:i/>
          <w:color w:val="FF0000"/>
          <w:sz w:val="52"/>
        </w:rPr>
      </w:pPr>
      <w:r w:rsidRPr="002B0112">
        <w:rPr>
          <w:i/>
          <w:color w:val="FF0000"/>
          <w:sz w:val="52"/>
        </w:rPr>
        <w:t>Уважаемые студенты!</w:t>
      </w:r>
    </w:p>
    <w:p w:rsidR="002B0112" w:rsidRPr="002B0112" w:rsidRDefault="002B0112">
      <w:pPr>
        <w:rPr>
          <w:i/>
          <w:color w:val="FF0000"/>
          <w:sz w:val="52"/>
        </w:rPr>
      </w:pPr>
      <w:r w:rsidRPr="002B0112">
        <w:rPr>
          <w:i/>
          <w:color w:val="FF0000"/>
          <w:sz w:val="52"/>
        </w:rPr>
        <w:t>Прочтите текст:</w:t>
      </w:r>
    </w:p>
    <w:tbl>
      <w:tblPr>
        <w:tblW w:w="5000" w:type="pct"/>
        <w:tblInd w:w="-664" w:type="dxa"/>
        <w:shd w:val="clear" w:color="auto" w:fill="E6E6E6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2B0112" w:rsidRPr="002B0112" w:rsidTr="002B0112">
        <w:tc>
          <w:tcPr>
            <w:tcW w:w="5000" w:type="pct"/>
            <w:shd w:val="clear" w:color="auto" w:fill="E6E6E6"/>
            <w:vAlign w:val="center"/>
            <w:hideMark/>
          </w:tcPr>
          <w:p w:rsidR="002B0112" w:rsidRPr="002B0112" w:rsidRDefault="002B0112">
            <w:pPr>
              <w:pStyle w:val="2"/>
              <w:rPr>
                <w:rFonts w:ascii="Calibri" w:hAnsi="Calibri" w:cs="Calibri"/>
                <w:color w:val="575757"/>
                <w:sz w:val="56"/>
              </w:rPr>
            </w:pPr>
            <w:r w:rsidRPr="002B0112">
              <w:rPr>
                <w:rFonts w:ascii="Calibri" w:hAnsi="Calibri" w:cs="Calibri"/>
                <w:color w:val="575757"/>
                <w:sz w:val="56"/>
              </w:rPr>
              <w:t>Обивочные, уплотнительные, прокладочные, электроизоляционные материалы, клеи</w:t>
            </w:r>
          </w:p>
        </w:tc>
      </w:tr>
      <w:tr w:rsidR="002B0112" w:rsidRPr="002B0112" w:rsidTr="002B0112">
        <w:tc>
          <w:tcPr>
            <w:tcW w:w="5000" w:type="pct"/>
            <w:shd w:val="clear" w:color="auto" w:fill="E6E6E6"/>
            <w:vAlign w:val="center"/>
            <w:hideMark/>
          </w:tcPr>
          <w:p w:rsidR="002B0112" w:rsidRPr="002B0112" w:rsidRDefault="002B0112">
            <w:pPr>
              <w:rPr>
                <w:rFonts w:ascii="Arial" w:hAnsi="Arial" w:cs="Arial"/>
                <w:color w:val="575757"/>
                <w:sz w:val="28"/>
                <w:szCs w:val="16"/>
              </w:rPr>
            </w:pPr>
          </w:p>
        </w:tc>
      </w:tr>
      <w:tr w:rsidR="002B0112" w:rsidRPr="002B0112" w:rsidTr="002B0112">
        <w:tc>
          <w:tcPr>
            <w:tcW w:w="5000" w:type="pct"/>
            <w:shd w:val="clear" w:color="auto" w:fill="E6E6E6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/>
            </w:tblPr>
            <w:tblGrid>
              <w:gridCol w:w="516"/>
            </w:tblGrid>
            <w:tr w:rsidR="002B0112" w:rsidRPr="002B01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0112" w:rsidRPr="002B0112" w:rsidRDefault="002B0112">
                  <w:pPr>
                    <w:rPr>
                      <w:rFonts w:ascii="Arial" w:hAnsi="Arial" w:cs="Arial"/>
                      <w:color w:val="575757"/>
                      <w:sz w:val="28"/>
                      <w:szCs w:val="16"/>
                    </w:rPr>
                  </w:pPr>
                </w:p>
              </w:tc>
            </w:tr>
          </w:tbl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 </w:t>
            </w:r>
          </w:p>
          <w:p w:rsidR="002B0112" w:rsidRPr="002B0112" w:rsidRDefault="002B0112">
            <w:pPr>
              <w:pStyle w:val="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. Использование уплотнительных, обивочных и электроизоляционных материалов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Обивочные материалы применяются для изготовления подушек и спинок сидений автомобиля и внутренней обивки кабин и кузовов. От качества обивочного материала зависит внешний вид автомобиля и его стоимость.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От прочности, эластичности и износостойкости обивочных материалов зависит срок их службы.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Требования, предъявляемые к обивочным материалам: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механическая прочность;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эластичность;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износостойкость;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невысокая стоимость;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эстетичность;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стойкость к воздействию пыли, грязи, нефтепродуктов.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В настоящее время для обивки автомобилей широко используются синтетические материалы широкого ассортимента.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Уплотнительные и прокладочные материалы применяют на </w:t>
            </w: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lastRenderedPageBreak/>
              <w:t>автомобиле для уплотнения неподвижных и подвижных соединений, защите агрегатов от попадания в них пыли и грязи. От надежности уплотнительных материалов зависят потери масел и смазочных материалов, тормозных, амортизаторных и охлаждающих жидкостей, сроки службы и безотказность агрегатов.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Требования, предъявляемые к уплотнительным материалам: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упругость;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высокая прочность на сжатие;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термостойкость;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стойкость к воздействию нефтепродуктов и газов;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прочность и мягкость;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износостойкость;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не повышать износ уплотняемой поверхности.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В качестве прокладочного материала используются: бумага, прокладочный картон, пергамент, фибра, пробка, асбест, войлок, резина,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паронит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.</w:t>
            </w:r>
            <w:proofErr w:type="gramEnd"/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Уплотнительными материалами являются: войлок, асбест, джут, пенька, ткань, пропитанная резиной, армированная резина.</w:t>
            </w:r>
            <w:proofErr w:type="gramEnd"/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Электроизоляционные материалы не проводят электрический ток и применяются при изготовлении приборов электрооборудования. Они должны обладать механической прочностью, тепло- и влагостойкостью.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Такими материалами являются: пластмассы, резины, электроизоляционные лаки, фибра, эбонит,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лакоткани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, текстильные ленты, изоляционная бумага,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изолента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, слюда и целый ряд синтетических материалов.</w:t>
            </w:r>
          </w:p>
          <w:p w:rsidR="002B0112" w:rsidRPr="002B0112" w:rsidRDefault="002B0112">
            <w:pPr>
              <w:pStyle w:val="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5.3.2. Синтетические клеи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Синтетические клеи используют для надежного соединения деталей между собой.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Клеевое соединение менее трудоемко, чем, например, заклепочное, обеспечивает гладкую поверхность, не увеличивает массы деталей и </w:t>
            </w: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lastRenderedPageBreak/>
              <w:t>не уменьшает рабочей толщины износа трущихся деталей.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Прочность клеевого соединения зависит от величины адгезии — силы прилипания клея к склеиваемой поверхности и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когезии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— прочности самой клеевой пленки.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Адгезия зависит от химических и межмолекулярных сил притяжения между частицами клея и склеиваемого материала. При шероховатой поверхности клей затекает во впадины и поры, обеспечивая дополнительное механическое сцепление.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Адгезия клеевой пленки зависит также от величины усадки при ее формировании и разности коэффициентов расширения пленки и материалов склеиваемых поверхностей.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Когезия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клеевой пленки зависит от качества клея, соблюдения условий ее образования (температуры, времени высыхания, давления) и толщины.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С увеличением толщины клеевой пленки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когезия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ухудшается вследствие уменьшения воздействия силового поля склеиваемых поверхностей.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Опрессовка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склеиваемых материалов позволяет получить тонкую сплошную клеевую пленку путем выдавливания избытка клея и пузырей воздуха.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В состав синтетического клея входят: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связующее,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растворитель,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наполнитель,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отвердитель,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ускоритель отвердения.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В качестве 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связующего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используют термопластичные и термореактивные полимеры (смолы). Клеи на базе термопластичных полимеров образуют обратимую пленку, размягчающуюся при нагревании.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Для получения необходимой вязкости в клеи вводят такие растворители, как ацетон, спирт, смесь бензина с этилацетатом и т. п.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Наполнители служат для уменьшения усадки клея при отверждении и </w:t>
            </w: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lastRenderedPageBreak/>
              <w:t>предотвращения появления трещин клеевой пленки. Наполнителями являются металлы, стекло, фарфор, цемент и другие материалы.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Отвердитель и ускоритель отвердения добавляют к клеям, содержащим термореактивные полимеры, для обеспечения и ускорения образования клеевой пленки.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Технологический проце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сс скл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еивания заключается в очистке и увеличении шероховатости соединяемых поверхностей, их обезжиривании, нанесении клея и его просушивании, прессовании деталей и термической обработки клеевого шва.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Склеивание фрикционных накладок с тормозными колодками или дисками сцепления вместо применения заклепочного соединения обеспечивает значительную экономию, так как при этом увеличивается используемая толщина накладки и, следовательно, срок ее службы.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Толщина фрикционных накладок с заклепками используется всего лишь на 50 %, а при склеивании — более чем на 80 %. Кроме того, при склеивании не образуются риски и задиры на рабочей поверхности барабана тормозного механизма.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Детали из термореактивных пластма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сс скл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еиваются смоляными клеями БФ-2, БФ-4, К-17.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Термопласты склеивают органическими растворителями или клеями, представляющими собой 2—4%-ный раствор пластмассы и растворителя.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Пластмассы с металлом и стеклом склеивают клеем БФ-2, обивку кузовов — с помощью клея БФ-6, резину с металлом, используя клеи № 88Н и № 61; сталь, стекло, керамика — клеем ВК-2.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В авторемонтных работах используются цианакриловые и акриловые клеи.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Цианакриловые клеи — универсальные клеи марок КМ-200С, ТК-300С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,Т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К-301С, ТК-300Э. Благодаря быстрому отвердению они позволяют значительно сократить и упростить технологические операции. Цианакриловые клеи характеризуются: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 высокой адгезией к любым металлам;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—  быстрым отвердением (от нескольких секунд до нескольких минут);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lastRenderedPageBreak/>
              <w:t>—  сохранением необходимых свойств в широком диапазоне температур.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Клеи типа ТК обеспечивают прочное и теплостойкое соединение деталей. Клеи типа 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КМ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позволяют получить эластичное соединение и применяются для склеивания деталей, испытывающих вибрационные нагрузки и резкие перепады температур.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Широкое использование цианакриловых клеев сдерживается из-за проблемы их хранения. Они хранятся при отрицательных температурах в течение 6 месяцев.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Акриловые клеи — двухкомпонентные клеи, применяются для склеивания металлов (в т. ч. замасленных), стекла, керамики, пластмасс.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Их компоненты наносят на поверхность раздельно. Отвердение клея происходит только после совмещения склеиваемых поверхностей при комнатной температуре. Клеевой шов имеет высокую стойкость к вибрациям и ударным нагрузкам, хорошо сохраняется при температуре от 5 до 30 °С. Срок хранения до 5 лет. Акриловые клеи выпускаются марок Ан-105, Ан-110, Ан-109, Ан-106.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Широкое применение получили клеи на основе эпоксидных смол, к ним относятся клеи ЭД-16 и ЭД-20. Кроме эпоксидной смолы в него входят отвердитель (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полиэтиленамин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), пластификатор (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дибутилфталат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) и какой-либо наполнитель, сходный по физическим свойствам со склеиваемыми деталями.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Отвердитель и наполнитель добавляют в клей перед его использованием, при этом необходимо помнить, что смола и отвердитель токсичны, поэтому при работе с ними необходимо соблюдать меры безопасности.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Эпоксидные композиции обладают уникальным набором технологических свойств. Основное достоинство технологии ремонта с использованием эпоксидных композиций является возможность их отверждения при любых температурах и получение необходимых форм и размеров отвердевшей композиции. Ассортимент отвердителей эпоксидных смол, применяемых при ремонте автомобилей, позволяет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отверждать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эпоксидные смолы при температурах от —5 до +20 °С.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Отвержденные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эпоксидные смолы в чистом виде обладают повышенной хрупкостью. Для повышения их эластичности в состав смол вводят пластификаторы. В качестве пластификатора применяется в основном </w:t>
            </w:r>
            <w:proofErr w:type="spell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дибутилфталат</w:t>
            </w:r>
            <w:proofErr w:type="spell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(ДБФ) — желтоватая </w:t>
            </w: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lastRenderedPageBreak/>
              <w:t>маслянистая жидкость с небольшой молекулярной массой с достаточно высокой температурой кипения.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Как правило, пластификаторы входят сразу в состав эпоксидных смол, получая так называемый компаунд, либо отвердители одновременно являются и пластификаторами.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Наполнители существенно изменяют физико-химические свойства эпоксидных композиций. Они уменьшают усадку, снижают коэффициент линейного (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термического) 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расширения, увеличивают теплопроводность, термостойкость и улучшают другие физико-механические свойства. Наполнители могу быть неорганическими и 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органическими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и представляют собой порошки различных металлов. Состав некоторых наиболее часто применяемых эпоксидных композиций приведен в табл. 5.2.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Рекомендации по применению некоторых эпоксидных композиций приведены в табл. 5.3.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При приготовлении композиции эпоксидную смолу подогревают до температуры 60—80</w:t>
            </w:r>
            <w:proofErr w:type="gramStart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 xml:space="preserve"> °С</w:t>
            </w:r>
            <w:proofErr w:type="gramEnd"/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, добавляют небольшими порциями пластификатор (если он содержится в композиции) и перемешивают смесь в течение 5—8 мин. Затем вводят наполнитель и перемешивают в течение 8—10 мин. Такой состав можно хранить длительное время.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Окончательное приготовление клея осуществляется непосредственно на месте использования и незадолго до его применения. Это объясняется тем, что после введения отвердителя время отверждения композиции в зависимости от температуры и типа отвердителя может быть от нескольких минут до нескольких часов.</w:t>
            </w:r>
          </w:p>
          <w:p w:rsidR="002B0112" w:rsidRPr="002B0112" w:rsidRDefault="002B0112">
            <w:pPr>
              <w:pStyle w:val="a4"/>
              <w:rPr>
                <w:rFonts w:ascii="Arial" w:hAnsi="Arial" w:cs="Arial"/>
                <w:color w:val="575757"/>
                <w:sz w:val="28"/>
                <w:szCs w:val="16"/>
              </w:rPr>
            </w:pPr>
            <w:r w:rsidRPr="002B0112">
              <w:rPr>
                <w:rFonts w:ascii="Arial" w:hAnsi="Arial" w:cs="Arial"/>
                <w:color w:val="575757"/>
                <w:sz w:val="28"/>
                <w:szCs w:val="16"/>
              </w:rPr>
              <w:t>Опыт показывает, что при отклонениях от рекомендуемых дозировок отвердителей до 5 %, пластификаторов и наполнителей до 10 % не происходит существенных изменений. Большие отклонения приводят к заметным ухудшениям их свойств.</w:t>
            </w:r>
          </w:p>
          <w:p w:rsidR="002B0112" w:rsidRPr="002B0112" w:rsidRDefault="002B0112">
            <w:pPr>
              <w:rPr>
                <w:rFonts w:ascii="Arial" w:hAnsi="Arial" w:cs="Arial"/>
                <w:color w:val="575757"/>
                <w:sz w:val="28"/>
                <w:szCs w:val="16"/>
              </w:rPr>
            </w:pPr>
          </w:p>
        </w:tc>
      </w:tr>
    </w:tbl>
    <w:p w:rsidR="002B0112" w:rsidRPr="002B0112" w:rsidRDefault="002B0112">
      <w:pPr>
        <w:rPr>
          <w:sz w:val="40"/>
        </w:rPr>
      </w:pPr>
      <w:r>
        <w:rPr>
          <w:sz w:val="40"/>
        </w:rPr>
        <w:lastRenderedPageBreak/>
        <w:t>С уважением ,Батуев.ВС</w:t>
      </w:r>
    </w:p>
    <w:sectPr w:rsidR="002B0112" w:rsidRPr="002B0112" w:rsidSect="008C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112"/>
    <w:rsid w:val="002B0112"/>
    <w:rsid w:val="008C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A2"/>
  </w:style>
  <w:style w:type="paragraph" w:styleId="2">
    <w:name w:val="heading 2"/>
    <w:basedOn w:val="a"/>
    <w:link w:val="20"/>
    <w:uiPriority w:val="9"/>
    <w:qFormat/>
    <w:rsid w:val="002B0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0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by">
    <w:name w:val="postedby"/>
    <w:basedOn w:val="a0"/>
    <w:rsid w:val="002B0112"/>
  </w:style>
  <w:style w:type="character" w:styleId="a3">
    <w:name w:val="Hyperlink"/>
    <w:basedOn w:val="a0"/>
    <w:uiPriority w:val="99"/>
    <w:semiHidden/>
    <w:unhideWhenUsed/>
    <w:rsid w:val="002B01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2020-06-11T04:06:00Z</dcterms:created>
  <dcterms:modified xsi:type="dcterms:W3CDTF">2020-06-11T04:13:00Z</dcterms:modified>
</cp:coreProperties>
</file>