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7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1. Оформить краткий конспект (опорный конспект) по теме:</w:t>
      </w:r>
    </w:p>
    <w:p>
      <w:pPr>
        <w:pStyle w:val="Normal"/>
        <w:jc w:val="left"/>
        <w:rPr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Технология обработки деталей на шлифовальных станках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Основные сведения о шлифовании. Особенности, виды, способы и режимы шлифования. 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Style22"/>
        <w:jc w:val="left"/>
        <w:rPr>
          <w:rStyle w:val="Style12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до 1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8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Neat_Office/6.2.8.2$Windows_x86 LibreOffice_project/</Application>
  <Pages>1</Pages>
  <Words>105</Words>
  <Characters>702</Characters>
  <CharactersWithSpaces>800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2020-04-16T11:43:56Z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