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МТЭ-17</w:t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15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 xml:space="preserve">детали машин   – 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часа.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jc w:val="center"/>
        <w:rPr>
          <w:color w:val="C9211E"/>
        </w:rPr>
      </w:pPr>
      <w:r>
        <w:rPr>
          <w:rFonts w:cs="Times New Roman" w:ascii="Times New Roman" w:hAnsi="Times New Roman"/>
          <w:b/>
          <w:i/>
          <w:color w:val="C9211E"/>
          <w:sz w:val="28"/>
          <w:szCs w:val="28"/>
        </w:rPr>
        <w:t>Следующее занятие — последнее — ЗАЧЕТ</w:t>
      </w:r>
    </w:p>
    <w:p>
      <w:pPr>
        <w:pStyle w:val="Normal"/>
        <w:rPr>
          <w:b w:val="false"/>
          <w:b w:val="false"/>
          <w:bCs w:val="false"/>
          <w:color w:val="800080"/>
        </w:rPr>
      </w:pPr>
      <w:r>
        <w:rPr>
          <w:rFonts w:cs="Times New Roman" w:ascii="Times New Roman" w:hAnsi="Times New Roman"/>
          <w:b w:val="false"/>
          <w:bCs w:val="false"/>
          <w:i/>
          <w:color w:val="800080"/>
          <w:sz w:val="28"/>
          <w:szCs w:val="28"/>
        </w:rPr>
        <w:t>Теоретический зачет (если будет возможность) пройдет в техникуме. Вопросы для зачета прилагаются.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Однако, если зачет пройдет дистанционно, то выполняем (для итогового зачета по дисциплине) следующее </w:t>
      </w:r>
      <w:r>
        <w:rPr>
          <w:rFonts w:cs="Times New Roman" w:ascii="Times New Roman" w:hAnsi="Times New Roman"/>
          <w:b/>
          <w:i/>
          <w:color w:val="FF0000"/>
          <w:sz w:val="28"/>
          <w:szCs w:val="28"/>
        </w:rPr>
        <w:t>ИНДИВИДУАЛЬНОЕ задание: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1. В формате реферативной (расчетно-графической, </w:t>
      </w:r>
      <w:r>
        <w:rPr>
          <w:rFonts w:cs="Times New Roman" w:ascii="Times New Roman" w:hAnsi="Times New Roman"/>
          <w:b/>
          <w:i/>
          <w:sz w:val="28"/>
          <w:szCs w:val="28"/>
        </w:rPr>
        <w:t>исследовательской</w:t>
      </w:r>
      <w:r>
        <w:rPr>
          <w:rFonts w:cs="Times New Roman" w:ascii="Times New Roman" w:hAnsi="Times New Roman"/>
          <w:b/>
          <w:i/>
          <w:sz w:val="28"/>
          <w:szCs w:val="28"/>
        </w:rPr>
        <w:t>) работы на листах А4, с титульным листом выполнить зачетную работу по теме согласно варианта (вариант уточняем у меня)в соответствие с планом:</w:t>
      </w:r>
    </w:p>
    <w:p>
      <w:pPr>
        <w:pStyle w:val="Normal"/>
        <w:rPr/>
      </w:pPr>
      <w:r>
        <w:rPr>
          <w:rFonts w:eastAsia="GOST type A (plotter)" w:cs="GOST type A (plotter)" w:ascii="GOST type A (plotter)" w:hAnsi="GOST type A (plotter)"/>
          <w:b/>
          <w:i/>
          <w:sz w:val="20"/>
          <w:szCs w:val="20"/>
        </w:rPr>
        <w:t xml:space="preserve"> </w:t>
      </w:r>
      <w:r>
        <w:rPr>
          <w:rFonts w:cs="GOST type A (plotter)" w:ascii="GOST type A (plotter)" w:hAnsi="GOST type A (plotter)"/>
          <w:b/>
          <w:i/>
          <w:sz w:val="20"/>
          <w:szCs w:val="20"/>
          <w:lang w:val="en-US"/>
        </w:rPr>
        <w:t>I</w:t>
      </w:r>
      <w:r>
        <w:rPr>
          <w:rFonts w:cs="GOST type A (plotter)" w:ascii="GOST type A (plotter)" w:hAnsi="GOST type A (plotter)"/>
          <w:b/>
          <w:i/>
          <w:sz w:val="20"/>
          <w:szCs w:val="20"/>
        </w:rPr>
        <w:t>. Общая часть</w:t>
      </w:r>
    </w:p>
    <w:p>
      <w:pPr>
        <w:pStyle w:val="Normal"/>
        <w:numPr>
          <w:ilvl w:val="0"/>
          <w:numId w:val="1"/>
        </w:numPr>
        <w:rPr>
          <w:rFonts w:ascii="GOST type A (plotter)" w:hAnsi="GOST type A (plotter)" w:cs="GOST type A (plotter)"/>
          <w:b/>
          <w:b/>
          <w:i/>
          <w:i/>
          <w:sz w:val="20"/>
          <w:szCs w:val="20"/>
        </w:rPr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>Характеристика, и</w:t>
      </w:r>
      <w:r>
        <w:rPr>
          <w:rFonts w:cs="GOST type A (plotter)" w:ascii="GOST type A (plotter)" w:hAnsi="GOST type A (plotter)"/>
          <w:b/>
          <w:i/>
          <w:sz w:val="20"/>
          <w:szCs w:val="20"/>
        </w:rPr>
        <w:t xml:space="preserve">сходные данные к </w:t>
      </w:r>
      <w:r>
        <w:rPr>
          <w:rFonts w:cs="GOST type A (plotter)" w:ascii="GOST type A (plotter)" w:hAnsi="GOST type A (plotter)"/>
          <w:b/>
          <w:i/>
          <w:sz w:val="20"/>
          <w:szCs w:val="20"/>
        </w:rPr>
        <w:t>объекту</w:t>
      </w:r>
      <w:r>
        <w:rPr>
          <w:rFonts w:cs="GOST type A (plotter)" w:ascii="GOST type A (plotter)" w:hAnsi="GOST type A (plotter)"/>
          <w:b/>
          <w:i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rPr>
          <w:rFonts w:ascii="GOST type A (plotter)" w:hAnsi="GOST type A (plotter)" w:cs="GOST type A (plotter)"/>
          <w:b/>
          <w:b/>
          <w:i/>
          <w:i/>
          <w:sz w:val="20"/>
          <w:szCs w:val="20"/>
        </w:rPr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>Виды и классификация исследуемых объектов.</w:t>
      </w:r>
    </w:p>
    <w:p>
      <w:pPr>
        <w:pStyle w:val="Normal"/>
        <w:numPr>
          <w:ilvl w:val="0"/>
          <w:numId w:val="1"/>
        </w:numPr>
        <w:rPr>
          <w:rFonts w:ascii="GOST type A (plotter)" w:hAnsi="GOST type A (plotter)" w:cs="GOST type A (plotter)"/>
          <w:b/>
          <w:b/>
          <w:i/>
          <w:i/>
          <w:sz w:val="20"/>
          <w:szCs w:val="20"/>
        </w:rPr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>Основные принципы действия (технология изготовления)исследуемых объектов.</w:t>
      </w:r>
    </w:p>
    <w:p>
      <w:pPr>
        <w:pStyle w:val="Normal"/>
        <w:numPr>
          <w:ilvl w:val="0"/>
          <w:numId w:val="1"/>
        </w:numPr>
        <w:rPr>
          <w:rFonts w:ascii="GOST type A (plotter)" w:hAnsi="GOST type A (plotter)" w:cs="GOST type A (plotter)"/>
          <w:b/>
          <w:b/>
          <w:i/>
          <w:i/>
          <w:sz w:val="20"/>
          <w:szCs w:val="20"/>
        </w:rPr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>Преимущества и недостатки, применение исследуемых объектов.</w:t>
      </w:r>
    </w:p>
    <w:p>
      <w:pPr>
        <w:pStyle w:val="Normal"/>
        <w:numPr>
          <w:ilvl w:val="0"/>
          <w:numId w:val="1"/>
        </w:numPr>
        <w:rPr/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>Контроль качества, безопасность, экологичность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eastAsia="GOST type A (plotter)" w:cs="GOST type A (plotter)" w:ascii="GOST type A (plotter)" w:hAnsi="GOST type A (plotter)"/>
          <w:b/>
          <w:i/>
          <w:sz w:val="20"/>
          <w:szCs w:val="20"/>
        </w:rPr>
        <w:t xml:space="preserve"> </w:t>
      </w:r>
      <w:r>
        <w:rPr>
          <w:rFonts w:cs="GOST type A (plotter)" w:ascii="GOST type A (plotter)" w:hAnsi="GOST type A (plotter)"/>
          <w:b/>
          <w:i/>
          <w:sz w:val="20"/>
          <w:szCs w:val="20"/>
          <w:lang w:val="en-US"/>
        </w:rPr>
        <w:t>II</w:t>
      </w:r>
      <w:r>
        <w:rPr>
          <w:rFonts w:cs="GOST type A (plotter)" w:ascii="GOST type A (plotter)" w:hAnsi="GOST type A (plotter)"/>
          <w:b/>
          <w:i/>
          <w:sz w:val="20"/>
          <w:szCs w:val="20"/>
        </w:rPr>
        <w:t>. Расчетная часть</w:t>
      </w:r>
    </w:p>
    <w:p>
      <w:pPr>
        <w:pStyle w:val="Normal"/>
        <w:numPr>
          <w:ilvl w:val="0"/>
          <w:numId w:val="1"/>
        </w:numPr>
        <w:rPr>
          <w:rFonts w:ascii="GOST type A (plotter)" w:hAnsi="GOST type A (plotter)" w:cs="GOST type A (plotter)"/>
          <w:b/>
          <w:b/>
          <w:i/>
          <w:i/>
          <w:sz w:val="20"/>
          <w:szCs w:val="20"/>
        </w:rPr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>Обоснование и порядок расчета прочности исследуемых объектов.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eastAsia="GOST type A (plotter)" w:cs="GOST type A (plotter)" w:ascii="GOST type A (plotter)" w:hAnsi="GOST type A (plotter)"/>
          <w:b/>
          <w:i/>
          <w:sz w:val="20"/>
          <w:szCs w:val="20"/>
        </w:rPr>
        <w:t xml:space="preserve">    </w:t>
      </w:r>
      <w:r>
        <w:rPr>
          <w:rFonts w:cs="GOST type A (plotter)" w:ascii="GOST type A (plotter)" w:hAnsi="GOST type A (plotter)"/>
          <w:b/>
          <w:i/>
          <w:sz w:val="20"/>
          <w:szCs w:val="20"/>
          <w:lang w:val="en-US"/>
        </w:rPr>
        <w:t>III</w:t>
      </w:r>
      <w:r>
        <w:rPr>
          <w:rFonts w:cs="GOST type A (plotter)" w:ascii="GOST type A (plotter)" w:hAnsi="GOST type A (plotter)"/>
          <w:b/>
          <w:i/>
          <w:sz w:val="20"/>
          <w:szCs w:val="20"/>
        </w:rPr>
        <w:t>. Графическая часть (формат А4)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cs="GOST type A (plotter)" w:ascii="GOST type A (plotter)" w:hAnsi="GOST type A (plotter)"/>
          <w:b/>
          <w:i/>
          <w:sz w:val="20"/>
          <w:szCs w:val="20"/>
        </w:rPr>
        <w:t xml:space="preserve">   </w:t>
      </w:r>
      <w:r>
        <w:rPr>
          <w:rFonts w:cs="GOST type A (plotter)" w:ascii="GOST type A (plotter)" w:hAnsi="GOST type A (plotter)"/>
          <w:b/>
          <w:i/>
          <w:sz w:val="20"/>
          <w:szCs w:val="20"/>
        </w:rPr>
        <w:t>7. Изображение объекта на чертежах и схемах согласно ГОСТ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Тематика  зачетной работы</w:t>
      </w:r>
    </w:p>
    <w:tbl>
      <w:tblPr>
        <w:tblW w:w="946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 Клёпанные соединени</w:t>
            </w:r>
            <w:r>
              <w:rPr>
                <w:sz w:val="28"/>
                <w:szCs w:val="28"/>
              </w:rPr>
              <w:t>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Сварные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 Клеевые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76" w:before="0" w:after="200"/>
              <w:ind w:left="1117" w:right="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 Паяные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 Прессовые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Резьбовые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Шпоночные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Шлицевые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Клиновые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Штифтовые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Профильные соединения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Фрикционные передачи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Ременные передачи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Зубчатые передачи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Червячные передачи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Планетарные и волновые передачи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Цепные передачи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Передачи винт-гайка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Валы и оси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Опоры валов и осей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72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Механические муфты</w:t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 вопросов </w:t>
      </w:r>
      <w:r>
        <w:rPr>
          <w:b/>
          <w:sz w:val="28"/>
          <w:szCs w:val="28"/>
        </w:rPr>
        <w:t xml:space="preserve">для зачета </w:t>
      </w:r>
      <w:r>
        <w:rPr>
          <w:b/>
          <w:sz w:val="28"/>
          <w:szCs w:val="28"/>
        </w:rPr>
        <w:t>по дисциплине «Детали машин»</w:t>
      </w:r>
    </w:p>
    <w:p>
      <w:pPr>
        <w:pStyle w:val="Normal"/>
        <w:numPr>
          <w:ilvl w:val="0"/>
          <w:numId w:val="3"/>
        </w:numPr>
        <w:rPr/>
      </w:pPr>
      <w:r>
        <w:rPr/>
        <w:t>Основные понятия курса «Детали машин»</w:t>
      </w:r>
    </w:p>
    <w:p>
      <w:pPr>
        <w:pStyle w:val="Normal"/>
        <w:numPr>
          <w:ilvl w:val="0"/>
          <w:numId w:val="3"/>
        </w:numPr>
        <w:rPr/>
      </w:pPr>
      <w:r>
        <w:rPr/>
        <w:t>Механизмы и их классификация</w:t>
      </w:r>
    </w:p>
    <w:p>
      <w:pPr>
        <w:pStyle w:val="Normal"/>
        <w:numPr>
          <w:ilvl w:val="0"/>
          <w:numId w:val="3"/>
        </w:numPr>
        <w:rPr/>
      </w:pPr>
      <w:r>
        <w:rPr/>
        <w:t>Классификация деталей машин</w:t>
      </w:r>
    </w:p>
    <w:p>
      <w:pPr>
        <w:pStyle w:val="Normal"/>
        <w:numPr>
          <w:ilvl w:val="0"/>
          <w:numId w:val="3"/>
        </w:numPr>
        <w:rPr/>
      </w:pPr>
      <w:r>
        <w:rPr/>
        <w:t>Основные принципы и этапы разработки машин</w:t>
      </w:r>
    </w:p>
    <w:p>
      <w:pPr>
        <w:pStyle w:val="Normal"/>
        <w:numPr>
          <w:ilvl w:val="0"/>
          <w:numId w:val="3"/>
        </w:numPr>
        <w:rPr/>
      </w:pPr>
      <w:r>
        <w:rPr/>
        <w:t>Требования к машинам и критерии их качества</w:t>
      </w:r>
    </w:p>
    <w:p>
      <w:pPr>
        <w:pStyle w:val="Normal"/>
        <w:numPr>
          <w:ilvl w:val="0"/>
          <w:numId w:val="3"/>
        </w:numPr>
        <w:rPr/>
      </w:pPr>
      <w:r>
        <w:rPr/>
        <w:t>Стандартизация, сертификация и взаимозаменяемость деталей машин</w:t>
      </w:r>
    </w:p>
    <w:p>
      <w:pPr>
        <w:pStyle w:val="Normal"/>
        <w:numPr>
          <w:ilvl w:val="0"/>
          <w:numId w:val="3"/>
        </w:numPr>
        <w:rPr/>
      </w:pPr>
      <w:r>
        <w:rPr/>
        <w:t>Неразъемные соединения. Виды, основные характеристики.</w:t>
      </w:r>
    </w:p>
    <w:p>
      <w:pPr>
        <w:pStyle w:val="Normal"/>
        <w:numPr>
          <w:ilvl w:val="0"/>
          <w:numId w:val="3"/>
        </w:numPr>
        <w:rPr/>
      </w:pPr>
      <w:r>
        <w:rPr/>
        <w:t>Клепанные соединения.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Сварные соединения.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Клееные соединения.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Паяные соединения.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Прессовые соединения.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Разъемные соединения. Виды, основные характеристики.</w:t>
      </w:r>
    </w:p>
    <w:p>
      <w:pPr>
        <w:pStyle w:val="Normal"/>
        <w:numPr>
          <w:ilvl w:val="0"/>
          <w:numId w:val="3"/>
        </w:numPr>
        <w:rPr/>
      </w:pPr>
      <w:r>
        <w:rPr/>
        <w:t>Резьбовые соединения.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Шпоночные соединения.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Шлицевые соединения.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Клиновые соединения.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Штифтовые соединения.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Профильные соединения.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Механические передачи. Общие сведения</w:t>
      </w:r>
    </w:p>
    <w:p>
      <w:pPr>
        <w:pStyle w:val="Normal"/>
        <w:numPr>
          <w:ilvl w:val="0"/>
          <w:numId w:val="3"/>
        </w:numPr>
        <w:rPr/>
      </w:pPr>
      <w:r>
        <w:rPr/>
        <w:t>Фрикционные передачи. Общие сведения</w:t>
      </w:r>
    </w:p>
    <w:p>
      <w:pPr>
        <w:pStyle w:val="Normal"/>
        <w:numPr>
          <w:ilvl w:val="0"/>
          <w:numId w:val="3"/>
        </w:numPr>
        <w:rPr/>
      </w:pPr>
      <w:r>
        <w:rPr/>
        <w:t>Цилиндрическая фрикционная передача.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Коническая фрикционная передача.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Фрикционные вариаторы.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Ременные передачи. Общие сведения</w:t>
      </w:r>
    </w:p>
    <w:p>
      <w:pPr>
        <w:pStyle w:val="Normal"/>
        <w:numPr>
          <w:ilvl w:val="0"/>
          <w:numId w:val="3"/>
        </w:numPr>
        <w:rPr/>
      </w:pPr>
      <w:r>
        <w:rPr/>
        <w:t>Плоскоременные передачи.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Клиноременные передачи.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Зубчато-ременные передачи.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Шкивы и натяжные устройства.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Зубчатые передачи. Основные сведения</w:t>
      </w:r>
    </w:p>
    <w:p>
      <w:pPr>
        <w:pStyle w:val="Normal"/>
        <w:numPr>
          <w:ilvl w:val="0"/>
          <w:numId w:val="3"/>
        </w:numPr>
        <w:rPr/>
      </w:pPr>
      <w:r>
        <w:rPr/>
        <w:t>Цилиндрическая прямозубая передача.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Цилиндрическая передача с косыми и шевронными зубьями.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Конические зубчатые передачи.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передачи с зацеплением Новикова.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Цилиндрические и конические редукторы. Общие сведения</w:t>
      </w:r>
    </w:p>
    <w:p>
      <w:pPr>
        <w:pStyle w:val="Normal"/>
        <w:numPr>
          <w:ilvl w:val="0"/>
          <w:numId w:val="3"/>
        </w:numPr>
        <w:rPr/>
      </w:pPr>
      <w:r>
        <w:rPr/>
        <w:t>Червячные передачи.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Планетарные передачи.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Волновые передачи.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Цепные передачи.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Передача винт-гайка.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Валы и оси.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Подшипники качения.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Подшипники скольжения. Характеристика, достоинства и недостатки, применение, расчет</w:t>
      </w:r>
    </w:p>
    <w:p>
      <w:pPr>
        <w:pStyle w:val="Normal"/>
        <w:numPr>
          <w:ilvl w:val="0"/>
          <w:numId w:val="3"/>
        </w:numPr>
        <w:rPr/>
      </w:pPr>
      <w:r>
        <w:rPr/>
        <w:t>Механические муфты. Характеристика, достоинства и недостатки, применение, расчет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Источники информации: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Сайт </w:t>
      </w:r>
      <w:hyperlink r:id="rId2">
        <w:r>
          <w:rPr>
            <w:rStyle w:val="Style14"/>
            <w:rFonts w:cs="Times New Roman" w:ascii="Times New Roman" w:hAnsi="Times New Roman"/>
            <w:i/>
            <w:sz w:val="28"/>
            <w:szCs w:val="28"/>
          </w:rPr>
          <w:t>http://detalmach.ru/</w:t>
        </w:r>
      </w:hyperlink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 xml:space="preserve">Гулиа Н.В. Детали машин: Учебник для студ. Учреждений СПО. –М.: Издательский центр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Академия</w:t>
      </w:r>
      <w:r>
        <w:rPr>
          <w:rFonts w:cs="Times New Roman" w:ascii="Times New Roman" w:hAnsi="Times New Roman"/>
          <w:sz w:val="28"/>
          <w:szCs w:val="28"/>
        </w:rPr>
        <w:t>», 2004.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Эрдеди А.А. Детали машин: Учебник для студентов СПО. – М.: Издательский центр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</w:rPr>
        <w:t>Академия</w:t>
      </w:r>
      <w:r>
        <w:rPr>
          <w:rFonts w:cs="Times New Roman" w:ascii="Times New Roman" w:hAnsi="Times New Roman"/>
          <w:sz w:val="28"/>
          <w:szCs w:val="28"/>
        </w:rPr>
        <w:t>», 2003.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ГОСТы ЕСКД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Справочники по деталям машин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3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до 25.04.2020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GOST type A (plotter)">
    <w:charset w:val="00"/>
    <w:family w:val="modern"/>
    <w:pitch w:val="variable"/>
  </w:font>
  <w:font w:name="Times New Roman CYR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580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i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i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etalmach.ru/" TargetMode="External"/><Relationship Id="rId3" Type="http://schemas.openxmlformats.org/officeDocument/2006/relationships/hyperlink" Target="mailto:dia.npet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5B3F-E547-442D-9CF6-A95BB0E1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Neat_Office/6.2.8.2$Windows_x86 LibreOffice_project/</Application>
  <Pages>4</Pages>
  <Words>643</Words>
  <Characters>4680</Characters>
  <CharactersWithSpaces>5198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2020-03-27T04:26:00Z</dcterms:created>
  <dc:creator>Техникум</dc:creator>
  <dc:description/>
  <dc:language>ru-RU</dc:language>
  <cp:lastModifiedBy/>
  <dcterms:modified xsi:type="dcterms:W3CDTF">2020-04-14T12:05:26Z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